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widowControl/>
        <w:pBdr>
          <w:top w:val="nil"/>
          <w:left w:val="nil"/>
          <w:bottom w:val="nil"/>
          <w:right w:val="nil"/>
        </w:pBdr>
        <w:shd w:fill="FFFFFF" w:val="clear"/>
        <w:spacing w:lineRule="atLeast" w:line="270" w:before="0" w:after="15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pBdr>
          <w:top w:val="nil"/>
          <w:left w:val="nil"/>
          <w:bottom w:val="nil"/>
          <w:right w:val="nil"/>
        </w:pBdr>
        <w:shd w:fill="FFFFFF" w:val="clear"/>
        <w:spacing w:lineRule="atLeast" w:line="270" w:before="0" w:after="150"/>
        <w:ind w:left="0" w:right="0" w:hanging="0"/>
        <w:jc w:val="left"/>
        <w:rPr>
          <w:rFonts w:ascii="ArIAL" w:hAnsi="ArIAL"/>
          <w:b w:val="false"/>
          <w:i w:val="false"/>
          <w:caps w:val="false"/>
          <w:smallCaps w:val="false"/>
          <w:color w:val="000000"/>
          <w:spacing w:val="0"/>
          <w:sz w:val="20"/>
          <w:szCs w:val="20"/>
          <w:shd w:fill="FFFFFF" w:val="clear"/>
        </w:rPr>
      </w:pPr>
      <w:r>
        <w:rPr>
          <w:rStyle w:val="StrongEmphasis"/>
          <w:rFonts w:ascii="ArIAL" w:hAnsi="ArIAL"/>
          <w:b w:val="false"/>
          <w:i w:val="false"/>
          <w:caps w:val="false"/>
          <w:smallCaps w:val="false"/>
          <w:color w:val="000000"/>
          <w:spacing w:val="0"/>
          <w:sz w:val="20"/>
          <w:szCs w:val="20"/>
          <w:shd w:fill="FFFFFF" w:val="clear"/>
        </w:rPr>
        <w:t>FirstName LastName</w:t>
      </w:r>
      <w:r>
        <w:rPr>
          <w:rFonts w:ascii="ArIAL" w:hAnsi="ArIAL"/>
          <w:b w:val="false"/>
          <w:i w:val="false"/>
          <w:caps w:val="false"/>
          <w:smallCaps w:val="false"/>
          <w:color w:val="000000"/>
          <w:spacing w:val="0"/>
          <w:sz w:val="20"/>
          <w:szCs w:val="20"/>
          <w:shd w:fill="FFFFFF" w:val="clear"/>
        </w:rPr>
        <w:br/>
        <w:t>Street Address</w:t>
        <w:br/>
        <w:t>City, ST ZipCode, Country</w:t>
        <w:br/>
        <w:t>Phone #</w:t>
        <w:br/>
        <w:t>Email Address</w:t>
      </w:r>
    </w:p>
    <w:p>
      <w:pPr>
        <w:pStyle w:val="HorizontalLine"/>
        <w:jc w:val="left"/>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spacing w:lineRule="atLeast" w:line="270" w:before="150" w:after="150"/>
        <w:ind w:left="0" w:right="0" w:hanging="0"/>
        <w:jc w:val="left"/>
        <w:rPr>
          <w:rFonts w:ascii="ArIAL" w:hAnsi="ArIAL"/>
          <w:caps w:val="false"/>
          <w:smallCaps w:val="false"/>
          <w:color w:val="000000"/>
          <w:spacing w:val="0"/>
          <w:sz w:val="20"/>
          <w:szCs w:val="20"/>
          <w:shd w:fill="FFFFFF" w:val="clear"/>
        </w:rPr>
      </w:pPr>
      <w:r>
        <w:rPr>
          <w:rFonts w:ascii="ArIAL" w:hAnsi="ArIAL"/>
          <w:caps w:val="false"/>
          <w:smallCaps w:val="false"/>
          <w:color w:val="000000"/>
          <w:spacing w:val="0"/>
          <w:sz w:val="20"/>
          <w:szCs w:val="20"/>
          <w:shd w:fill="FFFFFF" w:val="clear"/>
        </w:rPr>
        <w:t> </w:t>
      </w:r>
    </w:p>
    <w:tbl>
      <w:tblPr>
        <w:jc w:val="center"/>
        <w:tblInd w:w="0" w:type="dxa"/>
        <w:tblBorders>
          <w:top w:val="nil"/>
          <w:left w:val="nil"/>
          <w:bottom w:val="nil"/>
          <w:insideH w:val="nil"/>
          <w:right w:val="nil"/>
          <w:insideV w:val="nil"/>
        </w:tblBorders>
        <w:tblCellMar>
          <w:top w:w="0" w:type="dxa"/>
          <w:left w:w="0" w:type="dxa"/>
          <w:bottom w:w="0" w:type="dxa"/>
          <w:right w:w="0" w:type="dxa"/>
        </w:tblCellMar>
      </w:tblPr>
      <w:tblGrid>
        <w:gridCol w:w="9484"/>
        <w:gridCol w:w="154"/>
      </w:tblGrid>
      <w:tr>
        <w:trPr>
          <w:cantSplit w:val="false"/>
        </w:trPr>
        <w:tc>
          <w:tcPr>
            <w:tcW w:w="9638" w:type="dxa"/>
            <w:gridSpan w:val="2"/>
            <w:tcBorders>
              <w:top w:val="nil"/>
              <w:left w:val="nil"/>
              <w:bottom w:val="nil"/>
              <w:insideH w:val="nil"/>
              <w:right w:val="nil"/>
              <w:insideV w:val="nil"/>
            </w:tcBorders>
            <w:shd w:fill="auto" w:val="clear"/>
            <w:vAlign w:val="center"/>
          </w:tcPr>
          <w:p>
            <w:pPr>
              <w:pStyle w:val="TableContents"/>
              <w:spacing w:before="0" w:after="0"/>
              <w:ind w:left="0" w:right="0" w:hanging="0"/>
              <w:jc w:val="left"/>
              <w:rPr>
                <w:rStyle w:val="StrongEmphasis"/>
                <w:rFonts w:ascii="ArIAL" w:hAnsi="ArIAL"/>
                <w:color w:val="000000"/>
                <w:sz w:val="20"/>
                <w:szCs w:val="20"/>
                <w:shd w:fill="FFFFFF" w:val="clear"/>
              </w:rPr>
            </w:pPr>
            <w:r>
              <w:rPr>
                <w:rStyle w:val="StrongEmphasis"/>
                <w:rFonts w:ascii="ArIAL" w:hAnsi="ArIAL"/>
                <w:color w:val="000000"/>
                <w:sz w:val="20"/>
                <w:szCs w:val="20"/>
                <w:shd w:fill="FFFFFF" w:val="clear"/>
              </w:rPr>
              <w:t>MEDICAL SALES AND MARKETING</w:t>
            </w:r>
          </w:p>
        </w:tc>
      </w:tr>
      <w:tr>
        <w:trPr>
          <w:cantSplit w:val="false"/>
        </w:trPr>
        <w:tc>
          <w:tcPr>
            <w:tcW w:w="9484"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Sales and marketing professional offering over 12 years of experience utilizing a variety of professional skill sets. Background reflects strengths in launching new products and services, establishing and growing a loyal customer base and turning underachieving territories into highly profitable business enterprises within extremely competitive markets. Display professionalism and high levels of integrity as a front-line corporate representative. Build lasting customer and business relationships through service excellence, open communications and exemplary business protocol. Qualified to present, negotiate and secure contracts with large revenue producing accounts. Possess extensive contacts throughout the healthcare industry. Looking for new career challenges where a top producing sales professional will immediately expand market share, create value and increase overall profitability.</w:t>
            </w:r>
          </w:p>
        </w:tc>
        <w:tc>
          <w:tcPr>
            <w:tcW w:w="154" w:type="dxa"/>
            <w:tcBorders>
              <w:top w:val="nil"/>
              <w:left w:val="nil"/>
              <w:bottom w:val="nil"/>
              <w:insideH w:val="nil"/>
              <w:right w:val="nil"/>
              <w:insideV w:val="nil"/>
            </w:tcBorders>
            <w:shd w:fill="auto" w:val="clear"/>
            <w:tcMar>
              <w:top w:w="28" w:type="dxa"/>
              <w:left w:w="28" w:type="dxa"/>
              <w:bottom w:w="28" w:type="dxa"/>
              <w:right w:w="28" w:type="dxa"/>
            </w:tcM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r>
          </w:p>
        </w:tc>
      </w:tr>
      <w:tr>
        <w:trPr>
          <w:cantSplit w:val="false"/>
        </w:trPr>
        <w:tc>
          <w:tcPr>
            <w:tcW w:w="9484" w:type="dxa"/>
            <w:tcBorders>
              <w:top w:val="nil"/>
              <w:left w:val="nil"/>
              <w:bottom w:val="nil"/>
              <w:insideH w:val="nil"/>
              <w:right w:val="nil"/>
              <w:insideV w:val="nil"/>
            </w:tcBorders>
            <w:shd w:fill="auto" w:val="clear"/>
            <w:vAlign w:val="center"/>
          </w:tcPr>
          <w:p>
            <w:pPr>
              <w:pStyle w:val="TableContents"/>
              <w:spacing w:before="0" w:after="0"/>
              <w:jc w:val="left"/>
              <w:rPr>
                <w:rFonts w:ascii="ArIAL" w:hAnsi="ArIAL"/>
                <w:color w:val="000000"/>
                <w:sz w:val="20"/>
                <w:szCs w:val="20"/>
                <w:shd w:fill="FFFFFF" w:val="clear"/>
              </w:rPr>
            </w:pPr>
            <w:r>
              <w:rPr>
                <w:rFonts w:ascii="ArIAL" w:hAnsi="ArIAL"/>
                <w:color w:val="000000"/>
                <w:sz w:val="20"/>
                <w:szCs w:val="20"/>
                <w:shd w:fill="FFFFFF" w:val="clear"/>
              </w:rPr>
              <w:t> </w:t>
            </w:r>
          </w:p>
        </w:tc>
        <w:tc>
          <w:tcPr>
            <w:tcW w:w="154" w:type="dxa"/>
            <w:tcBorders>
              <w:top w:val="nil"/>
              <w:left w:val="nil"/>
              <w:bottom w:val="nil"/>
              <w:insideH w:val="nil"/>
              <w:right w:val="nil"/>
              <w:insideV w:val="nil"/>
            </w:tcBorders>
            <w:shd w:fill="auto" w:val="clear"/>
            <w:tcMar>
              <w:top w:w="28" w:type="dxa"/>
              <w:left w:w="28" w:type="dxa"/>
              <w:bottom w:w="28" w:type="dxa"/>
              <w:right w:w="28" w:type="dxa"/>
            </w:tcM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r>
          </w:p>
        </w:tc>
      </w:tr>
    </w:tbl>
    <w:tbl>
      <w:tblPr>
        <w:jc w:val="center"/>
        <w:tblInd w:w="0" w:type="dxa"/>
        <w:tblBorders>
          <w:top w:val="nil"/>
          <w:left w:val="nil"/>
          <w:bottom w:val="nil"/>
          <w:insideH w:val="nil"/>
          <w:right w:val="nil"/>
          <w:insideV w:val="nil"/>
        </w:tblBorders>
        <w:tblCellMar>
          <w:top w:w="0" w:type="dxa"/>
          <w:left w:w="0" w:type="dxa"/>
          <w:bottom w:w="0" w:type="dxa"/>
          <w:right w:w="0" w:type="dxa"/>
        </w:tblCellMar>
      </w:tblPr>
      <w:tblGrid>
        <w:gridCol w:w="6781"/>
        <w:gridCol w:w="2857"/>
      </w:tblGrid>
      <w:tr>
        <w:trPr>
          <w:cantSplit w:val="false"/>
        </w:trPr>
        <w:tc>
          <w:tcPr>
            <w:tcW w:w="9638" w:type="dxa"/>
            <w:gridSpan w:val="2"/>
            <w:tcBorders>
              <w:top w:val="nil"/>
              <w:left w:val="nil"/>
              <w:bottom w:val="nil"/>
              <w:insideH w:val="nil"/>
              <w:right w:val="nil"/>
              <w:insideV w:val="nil"/>
            </w:tcBorders>
            <w:shd w:fill="auto" w:val="clear"/>
            <w:vAlign w:val="center"/>
          </w:tcPr>
          <w:p>
            <w:pPr>
              <w:pStyle w:val="TableContents"/>
              <w:spacing w:before="0" w:after="0"/>
              <w:ind w:left="0" w:right="0" w:hanging="0"/>
              <w:jc w:val="left"/>
              <w:rPr>
                <w:rStyle w:val="StrongEmphasis"/>
                <w:rFonts w:ascii="ArIAL" w:hAnsi="ArIAL"/>
                <w:color w:val="000000"/>
                <w:sz w:val="20"/>
                <w:szCs w:val="20"/>
                <w:shd w:fill="FFFFFF" w:val="clear"/>
              </w:rPr>
            </w:pPr>
            <w:r>
              <w:rPr>
                <w:rStyle w:val="StrongEmphasis"/>
                <w:rFonts w:ascii="ArIAL" w:hAnsi="ArIAL"/>
                <w:color w:val="000000"/>
                <w:sz w:val="20"/>
                <w:szCs w:val="20"/>
                <w:shd w:fill="FFFFFF" w:val="clear"/>
              </w:rPr>
              <w:t>PROFESSIONAL EXPERIENCE</w:t>
            </w:r>
          </w:p>
        </w:tc>
      </w:tr>
      <w:tr>
        <w:trPr>
          <w:cantSplit w:val="false"/>
        </w:trPr>
        <w:tc>
          <w:tcPr>
            <w:tcW w:w="6781"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Manning Medical Corporation, St. Louis, MO</w:t>
            </w:r>
          </w:p>
        </w:tc>
        <w:tc>
          <w:tcPr>
            <w:tcW w:w="2857"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1990 - Present</w:t>
            </w:r>
          </w:p>
        </w:tc>
      </w:tr>
      <w:tr>
        <w:trPr>
          <w:cantSplit w:val="false"/>
        </w:trPr>
        <w:tc>
          <w:tcPr>
            <w:tcW w:w="9638" w:type="dxa"/>
            <w:gridSpan w:val="2"/>
            <w:tcBorders>
              <w:top w:val="nil"/>
              <w:left w:val="nil"/>
              <w:bottom w:val="nil"/>
              <w:insideH w:val="nil"/>
              <w:right w:val="nil"/>
              <w:insideV w:val="nil"/>
            </w:tcBorders>
            <w:shd w:fill="auto" w:val="clear"/>
            <w:vAlign w:val="center"/>
          </w:tcPr>
          <w:p>
            <w:pPr>
              <w:pStyle w:val="TableContents"/>
              <w:spacing w:before="0" w:after="0"/>
              <w:ind w:left="0" w:right="0" w:hanging="0"/>
              <w:jc w:val="left"/>
              <w:rPr>
                <w:rStyle w:val="StrongEmphasis"/>
                <w:rFonts w:ascii="ArIAL" w:hAnsi="ArIAL"/>
                <w:color w:val="000000"/>
                <w:sz w:val="20"/>
                <w:szCs w:val="20"/>
                <w:shd w:fill="FFFFFF" w:val="clear"/>
              </w:rPr>
            </w:pPr>
            <w:r>
              <w:rPr>
                <w:rStyle w:val="StrongEmphasis"/>
                <w:rFonts w:ascii="ArIAL" w:hAnsi="ArIAL"/>
                <w:color w:val="000000"/>
                <w:sz w:val="20"/>
                <w:szCs w:val="20"/>
                <w:shd w:fill="FFFFFF" w:val="clear"/>
              </w:rPr>
              <w:t>Area Sales Manager</w:t>
            </w:r>
          </w:p>
        </w:tc>
      </w:tr>
      <w:tr>
        <w:trPr>
          <w:cantSplit w:val="false"/>
        </w:trPr>
        <w:tc>
          <w:tcPr>
            <w:tcW w:w="9638" w:type="dxa"/>
            <w:gridSpan w:val="2"/>
            <w:tcBorders>
              <w:top w:val="nil"/>
              <w:left w:val="nil"/>
              <w:bottom w:val="nil"/>
              <w:insideH w:val="nil"/>
              <w:right w:val="nil"/>
              <w:insideV w:val="nil"/>
            </w:tcBorders>
            <w:shd w:fill="auto" w:val="clear"/>
            <w:vAlign w:val="center"/>
          </w:tcPr>
          <w:p>
            <w:pPr>
              <w:pStyle w:val="TableContents"/>
              <w:spacing w:before="150" w:after="150"/>
              <w:jc w:val="left"/>
              <w:rPr>
                <w:rFonts w:ascii="ArIAL" w:hAnsi="ArIAL"/>
                <w:color w:val="000000"/>
                <w:sz w:val="20"/>
                <w:szCs w:val="20"/>
                <w:shd w:fill="FFFFFF" w:val="clear"/>
              </w:rPr>
            </w:pPr>
            <w:r>
              <w:rPr>
                <w:rFonts w:ascii="ArIAL" w:hAnsi="ArIAL"/>
                <w:color w:val="000000"/>
                <w:sz w:val="20"/>
                <w:szCs w:val="20"/>
                <w:shd w:fill="FFFFFF" w:val="clear"/>
              </w:rPr>
              <w:t>Represented the nation's largest manufacturer in the sale of turnkey diagnostic imaging equipment such as Magnetic Resonance Imaging (MRI), Positron Emission Tomography (PET) and Computerized Tomography (CT). Managed central US sales territory. Directly managed, continued to build upon and maintained 50+ major accounts. Led a sales team of 3 full-time account executives.</w:t>
            </w:r>
          </w:p>
          <w:p>
            <w:pPr>
              <w:pStyle w:val="TableContents"/>
              <w:spacing w:before="150" w:after="150"/>
              <w:jc w:val="left"/>
              <w:rPr>
                <w:rFonts w:ascii="ArIAL" w:hAnsi="ArIAL"/>
                <w:color w:val="000000"/>
                <w:sz w:val="20"/>
                <w:szCs w:val="20"/>
                <w:shd w:fill="FFFFFF" w:val="clear"/>
              </w:rPr>
            </w:pPr>
            <w:r>
              <w:rPr>
                <w:rFonts w:ascii="ArIAL" w:hAnsi="ArIAL"/>
                <w:color w:val="000000"/>
                <w:sz w:val="20"/>
                <w:szCs w:val="20"/>
                <w:shd w:fill="FFFFFF" w:val="clear"/>
              </w:rPr>
              <w:t xml:space="preserve">• </w:t>
            </w:r>
            <w:r>
              <w:rPr>
                <w:rFonts w:ascii="ArIAL" w:hAnsi="ArIAL"/>
                <w:color w:val="000000"/>
                <w:sz w:val="20"/>
                <w:szCs w:val="20"/>
                <w:shd w:fill="FFFFFF" w:val="clear"/>
              </w:rPr>
              <w:t>Targeted, marketed and prepared comprehensive presentations utilizing vast experience selling diagnostic imaging equipment.</w:t>
              <w:br/>
              <w:t>• Evaluated current equipment and demonstrated ways to integrate cutting-edge technological equipment that create value. </w:t>
              <w:br/>
              <w:t>• Designed effective marketing campaigns to assist customers in generating higher utilization of diagnostic services.</w:t>
              <w:br/>
              <w:t>• Negotiated long-term, multi-million dollar MRI, PET, CT and Lithotripsy agreements and joint ventures with hospital administration, radiology management, clinics and physician groups.</w:t>
              <w:br/>
              <w:t>• Represented Image at Certificate of Need Review Board meetings required by the State Health Planning Agency; remained well informed on current regulations and served as expert speaker on equipment and industry topics.</w:t>
              <w:br/>
              <w:t>• Selected to participate in strategic and budget planning with the Regional Management Team.</w:t>
              <w:br/>
              <w:t>• Built strong business relations and worked with radiologist, orthopedic surgeons, neurologist and neurosurgeons.</w:t>
              <w:br/>
              <w:t>• Consulted and coordinated efforts with over 100 technologists and 50 drivers providing diagnostic services to over 100 hospitals and clinics.</w:t>
              <w:br/>
              <w:t>• Provided leadership and training to newly hired account executives and continued to facilitate creative sales strategies.</w:t>
            </w:r>
          </w:p>
          <w:p>
            <w:pPr>
              <w:pStyle w:val="TableContents"/>
              <w:spacing w:before="150" w:after="150"/>
              <w:ind w:left="0" w:right="0" w:hanging="0"/>
              <w:jc w:val="left"/>
              <w:rPr>
                <w:rFonts w:ascii="ArIAL" w:hAnsi="ArIAL"/>
                <w:color w:val="000000"/>
                <w:sz w:val="20"/>
                <w:szCs w:val="20"/>
                <w:shd w:fill="FFFFFF" w:val="clear"/>
              </w:rPr>
            </w:pPr>
            <w:r>
              <w:rPr>
                <w:rFonts w:ascii="ArIAL" w:hAnsi="ArIAL"/>
                <w:color w:val="000000"/>
                <w:sz w:val="20"/>
                <w:szCs w:val="20"/>
                <w:shd w:fill="FFFFFF" w:val="clear"/>
              </w:rPr>
              <w:t>- Built sales territory from $3M in annual revenue in 1990 to $23M in annual revenue in 2001.</w:t>
              <w:br/>
              <w:t>- Ranked Top 5 of total revenue producing sales representative company-wide.</w:t>
              <w:br/>
              <w:t>- Achieved and exceed total sales quotas annually, 1990 to present.</w:t>
              <w:br/>
              <w:t>- Signed many national and health system accounts constituting 10% of current annual company revenue.</w:t>
              <w:br/>
              <w:t>- Consistently increased region sales revenues by 18-25% per year.</w:t>
              <w:br/>
              <w:t>- Recognized for discovering several new profitable target markets.</w:t>
              <w:br/>
              <w:t>- Instrumental in company growth from 60 diagnostic systems in 1990 to over 450 systems to date.</w:t>
              <w:br/>
              <w:t>- Successfully managed a telemarketing department consisting of 9 personnel from 1993-1995.</w:t>
            </w:r>
          </w:p>
        </w:tc>
      </w:tr>
      <w:tr>
        <w:trPr>
          <w:cantSplit w:val="false"/>
        </w:trPr>
        <w:tc>
          <w:tcPr>
            <w:tcW w:w="9638" w:type="dxa"/>
            <w:gridSpan w:val="2"/>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 </w:t>
            </w:r>
          </w:p>
        </w:tc>
      </w:tr>
      <w:tr>
        <w:trPr>
          <w:cantSplit w:val="false"/>
        </w:trPr>
        <w:tc>
          <w:tcPr>
            <w:tcW w:w="6781"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Bradford Business Associates, St. Louis, MO</w:t>
            </w:r>
          </w:p>
        </w:tc>
        <w:tc>
          <w:tcPr>
            <w:tcW w:w="2857"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1989 - 1990</w:t>
            </w:r>
          </w:p>
        </w:tc>
      </w:tr>
      <w:tr>
        <w:trPr>
          <w:cantSplit w:val="false"/>
        </w:trPr>
        <w:tc>
          <w:tcPr>
            <w:tcW w:w="9638" w:type="dxa"/>
            <w:gridSpan w:val="2"/>
            <w:tcBorders>
              <w:top w:val="nil"/>
              <w:left w:val="nil"/>
              <w:bottom w:val="nil"/>
              <w:insideH w:val="nil"/>
              <w:right w:val="nil"/>
              <w:insideV w:val="nil"/>
            </w:tcBorders>
            <w:shd w:fill="auto" w:val="clear"/>
            <w:vAlign w:val="center"/>
          </w:tcPr>
          <w:p>
            <w:pPr>
              <w:pStyle w:val="TableContents"/>
              <w:spacing w:before="0" w:after="0"/>
              <w:ind w:left="0" w:right="0" w:hanging="0"/>
              <w:jc w:val="left"/>
              <w:rPr>
                <w:rStyle w:val="StrongEmphasis"/>
                <w:rFonts w:ascii="ArIAL" w:hAnsi="ArIAL"/>
                <w:color w:val="000000"/>
                <w:sz w:val="20"/>
                <w:szCs w:val="20"/>
                <w:shd w:fill="FFFFFF" w:val="clear"/>
              </w:rPr>
            </w:pPr>
            <w:r>
              <w:rPr>
                <w:rStyle w:val="StrongEmphasis"/>
                <w:rFonts w:ascii="ArIAL" w:hAnsi="ArIAL"/>
                <w:color w:val="000000"/>
                <w:sz w:val="20"/>
                <w:szCs w:val="20"/>
                <w:shd w:fill="FFFFFF" w:val="clear"/>
              </w:rPr>
              <w:t>Business Systems Sales Representative</w:t>
            </w:r>
          </w:p>
        </w:tc>
      </w:tr>
      <w:tr>
        <w:trPr>
          <w:cantSplit w:val="false"/>
        </w:trPr>
        <w:tc>
          <w:tcPr>
            <w:tcW w:w="9638" w:type="dxa"/>
            <w:gridSpan w:val="2"/>
            <w:tcBorders>
              <w:top w:val="nil"/>
              <w:left w:val="nil"/>
              <w:bottom w:val="nil"/>
              <w:insideH w:val="nil"/>
              <w:right w:val="nil"/>
              <w:insideV w:val="nil"/>
            </w:tcBorders>
            <w:shd w:fill="auto" w:val="clear"/>
            <w:vAlign w:val="center"/>
          </w:tcPr>
          <w:p>
            <w:pPr>
              <w:pStyle w:val="TableContents"/>
              <w:spacing w:before="150" w:after="150"/>
              <w:jc w:val="left"/>
              <w:rPr>
                <w:rFonts w:ascii="ArIAL" w:hAnsi="ArIAL"/>
                <w:color w:val="000000"/>
                <w:sz w:val="20"/>
                <w:szCs w:val="20"/>
                <w:shd w:fill="FFFFFF" w:val="clear"/>
              </w:rPr>
            </w:pPr>
            <w:r>
              <w:rPr>
                <w:rFonts w:ascii="ArIAL" w:hAnsi="ArIAL"/>
                <w:color w:val="000000"/>
                <w:sz w:val="20"/>
                <w:szCs w:val="20"/>
                <w:shd w:fill="FFFFFF" w:val="clear"/>
              </w:rPr>
              <w:t>Sold a full line of copiers and fax equipment for this Xerox Authorized dealer. Secured sales with small-large businesses, non-profit organizations, government agencies, hospitals, and other healthcare industry related enterprises.</w:t>
            </w:r>
          </w:p>
          <w:p>
            <w:pPr>
              <w:pStyle w:val="TableContents"/>
              <w:spacing w:before="150" w:after="150"/>
              <w:ind w:left="0" w:right="0" w:hanging="0"/>
              <w:jc w:val="left"/>
              <w:rPr>
                <w:rFonts w:ascii="ArIAL" w:hAnsi="ArIAL"/>
                <w:color w:val="000000"/>
                <w:sz w:val="20"/>
                <w:szCs w:val="20"/>
                <w:shd w:fill="FFFFFF" w:val="clear"/>
              </w:rPr>
            </w:pPr>
            <w:r>
              <w:rPr>
                <w:rFonts w:ascii="ArIAL" w:hAnsi="ArIAL"/>
                <w:color w:val="000000"/>
                <w:sz w:val="20"/>
                <w:szCs w:val="20"/>
                <w:shd w:fill="FFFFFF" w:val="clear"/>
              </w:rPr>
              <w:t xml:space="preserve">• </w:t>
            </w:r>
            <w:r>
              <w:rPr>
                <w:rFonts w:ascii="ArIAL" w:hAnsi="ArIAL"/>
                <w:color w:val="000000"/>
                <w:sz w:val="20"/>
                <w:szCs w:val="20"/>
                <w:shd w:fill="FFFFFF" w:val="clear"/>
              </w:rPr>
              <w:t>Instrumental in acquiring multiple new and high dollar sales with major corporations</w:t>
            </w:r>
          </w:p>
        </w:tc>
      </w:tr>
      <w:tr>
        <w:trPr>
          <w:cantSplit w:val="false"/>
        </w:trPr>
        <w:tc>
          <w:tcPr>
            <w:tcW w:w="6781" w:type="dxa"/>
            <w:tcBorders>
              <w:top w:val="nil"/>
              <w:left w:val="nil"/>
              <w:bottom w:val="nil"/>
              <w:insideH w:val="nil"/>
              <w:right w:val="nil"/>
              <w:insideV w:val="nil"/>
            </w:tcBorders>
            <w:shd w:fill="auto" w:val="clear"/>
            <w:vAlign w:val="center"/>
          </w:tcPr>
          <w:p>
            <w:pPr>
              <w:pStyle w:val="TableContents"/>
              <w:spacing w:before="0" w:after="0"/>
              <w:jc w:val="left"/>
              <w:rPr>
                <w:rFonts w:ascii="ArIAL" w:hAnsi="ArIAL"/>
                <w:color w:val="000000"/>
                <w:sz w:val="20"/>
                <w:szCs w:val="20"/>
                <w:shd w:fill="FFFFFF" w:val="clear"/>
              </w:rPr>
            </w:pPr>
            <w:r>
              <w:rPr>
                <w:rFonts w:ascii="ArIAL" w:hAnsi="ArIAL"/>
                <w:color w:val="000000"/>
                <w:sz w:val="20"/>
                <w:szCs w:val="20"/>
                <w:shd w:fill="FFFFFF" w:val="clear"/>
              </w:rPr>
            </w:r>
          </w:p>
        </w:tc>
        <w:tc>
          <w:tcPr>
            <w:tcW w:w="2857" w:type="dxa"/>
            <w:tcBorders>
              <w:top w:val="nil"/>
              <w:left w:val="nil"/>
              <w:bottom w:val="nil"/>
              <w:insideH w:val="nil"/>
              <w:right w:val="nil"/>
              <w:insideV w:val="nil"/>
            </w:tcBorders>
            <w:shd w:fill="auto" w:val="clear"/>
            <w:tcMar>
              <w:top w:w="28" w:type="dxa"/>
              <w:left w:w="28" w:type="dxa"/>
              <w:bottom w:w="28" w:type="dxa"/>
              <w:right w:w="28" w:type="dxa"/>
            </w:tcM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r>
          </w:p>
        </w:tc>
      </w:tr>
    </w:tbl>
    <w:tbl>
      <w:tblPr>
        <w:jc w:val="center"/>
        <w:tblInd w:w="0" w:type="dxa"/>
        <w:tblBorders>
          <w:top w:val="nil"/>
          <w:left w:val="nil"/>
          <w:bottom w:val="nil"/>
          <w:insideH w:val="nil"/>
          <w:right w:val="nil"/>
          <w:insideV w:val="nil"/>
        </w:tblBorders>
        <w:tblCellMar>
          <w:top w:w="0" w:type="dxa"/>
          <w:left w:w="0" w:type="dxa"/>
          <w:bottom w:w="0" w:type="dxa"/>
          <w:right w:w="0" w:type="dxa"/>
        </w:tblCellMar>
      </w:tblPr>
      <w:tblGrid>
        <w:gridCol w:w="3621"/>
        <w:gridCol w:w="191"/>
      </w:tblGrid>
      <w:tr>
        <w:trPr>
          <w:cantSplit w:val="false"/>
        </w:trPr>
        <w:tc>
          <w:tcPr>
            <w:tcW w:w="3812" w:type="dxa"/>
            <w:gridSpan w:val="2"/>
            <w:tcBorders>
              <w:top w:val="nil"/>
              <w:left w:val="nil"/>
              <w:bottom w:val="nil"/>
              <w:insideH w:val="nil"/>
              <w:right w:val="nil"/>
              <w:insideV w:val="nil"/>
            </w:tcBorders>
            <w:shd w:fill="auto" w:val="clear"/>
            <w:vAlign w:val="center"/>
          </w:tcPr>
          <w:p>
            <w:pPr>
              <w:pStyle w:val="TableContents"/>
              <w:spacing w:before="0" w:after="0"/>
              <w:ind w:left="0" w:right="0" w:hanging="0"/>
              <w:jc w:val="left"/>
              <w:rPr>
                <w:rStyle w:val="StrongEmphasis"/>
                <w:rFonts w:ascii="ArIAL" w:hAnsi="ArIAL"/>
                <w:color w:val="000000"/>
                <w:sz w:val="20"/>
                <w:szCs w:val="20"/>
                <w:shd w:fill="FFFFFF" w:val="clear"/>
              </w:rPr>
            </w:pPr>
            <w:r>
              <w:rPr>
                <w:rStyle w:val="StrongEmphasis"/>
                <w:rFonts w:ascii="ArIAL" w:hAnsi="ArIAL"/>
                <w:color w:val="000000"/>
                <w:sz w:val="20"/>
                <w:szCs w:val="20"/>
                <w:shd w:fill="FFFFFF" w:val="clear"/>
              </w:rPr>
              <w:t>EDUCATION</w:t>
            </w:r>
          </w:p>
        </w:tc>
      </w:tr>
      <w:tr>
        <w:trPr>
          <w:cantSplit w:val="false"/>
        </w:trPr>
        <w:tc>
          <w:tcPr>
            <w:tcW w:w="3621"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St. LOUIS UNIVERSITY, St. Louis, MO</w:t>
            </w:r>
          </w:p>
        </w:tc>
        <w:tc>
          <w:tcPr>
            <w:tcW w:w="191"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 </w:t>
            </w:r>
          </w:p>
        </w:tc>
      </w:tr>
      <w:tr>
        <w:trPr>
          <w:cantSplit w:val="false"/>
        </w:trPr>
        <w:tc>
          <w:tcPr>
            <w:tcW w:w="3812" w:type="dxa"/>
            <w:gridSpan w:val="2"/>
            <w:tcBorders>
              <w:top w:val="nil"/>
              <w:left w:val="nil"/>
              <w:bottom w:val="nil"/>
              <w:insideH w:val="nil"/>
              <w:right w:val="nil"/>
              <w:insideV w:val="nil"/>
            </w:tcBorders>
            <w:shd w:fill="auto" w:val="clear"/>
            <w:vAlign w:val="center"/>
          </w:tcPr>
          <w:p>
            <w:pPr>
              <w:pStyle w:val="TableContents"/>
              <w:spacing w:before="0" w:after="0"/>
              <w:ind w:left="0" w:right="0" w:hanging="0"/>
              <w:jc w:val="left"/>
              <w:rPr>
                <w:rStyle w:val="StrongEmphasis"/>
                <w:rFonts w:ascii="ArIAL" w:hAnsi="ArIAL"/>
                <w:color w:val="000000"/>
                <w:sz w:val="20"/>
                <w:szCs w:val="20"/>
                <w:shd w:fill="FFFFFF" w:val="clear"/>
              </w:rPr>
            </w:pPr>
            <w:r>
              <w:rPr>
                <w:rStyle w:val="StrongEmphasis"/>
                <w:rFonts w:ascii="ArIAL" w:hAnsi="ArIAL"/>
                <w:color w:val="000000"/>
                <w:sz w:val="20"/>
                <w:szCs w:val="20"/>
                <w:shd w:fill="FFFFFF" w:val="clear"/>
              </w:rPr>
              <w:t>B.A., Marketing</w:t>
            </w:r>
          </w:p>
        </w:tc>
      </w:tr>
      <w:tr>
        <w:trPr>
          <w:cantSplit w:val="false"/>
        </w:trPr>
        <w:tc>
          <w:tcPr>
            <w:tcW w:w="3621"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 </w:t>
            </w:r>
          </w:p>
        </w:tc>
        <w:tc>
          <w:tcPr>
            <w:tcW w:w="191" w:type="dxa"/>
            <w:tcBorders>
              <w:top w:val="nil"/>
              <w:left w:val="nil"/>
              <w:bottom w:val="nil"/>
              <w:insideH w:val="nil"/>
              <w:right w:val="nil"/>
              <w:insideV w:val="nil"/>
            </w:tcBorders>
            <w:shd w:fill="auto" w:val="clear"/>
            <w:tcMar>
              <w:top w:w="28" w:type="dxa"/>
              <w:left w:w="28" w:type="dxa"/>
              <w:bottom w:w="28" w:type="dxa"/>
              <w:right w:w="28" w:type="dxa"/>
            </w:tcM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r>
          </w:p>
        </w:tc>
      </w:tr>
      <w:tr>
        <w:trPr>
          <w:cantSplit w:val="false"/>
        </w:trPr>
        <w:tc>
          <w:tcPr>
            <w:tcW w:w="3621"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MISSOURI COLLEGE, St. Louis, MO</w:t>
            </w:r>
          </w:p>
        </w:tc>
        <w:tc>
          <w:tcPr>
            <w:tcW w:w="191"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 </w:t>
            </w:r>
          </w:p>
        </w:tc>
      </w:tr>
      <w:tr>
        <w:trPr>
          <w:cantSplit w:val="false"/>
        </w:trPr>
        <w:tc>
          <w:tcPr>
            <w:tcW w:w="3812" w:type="dxa"/>
            <w:gridSpan w:val="2"/>
            <w:tcBorders>
              <w:top w:val="nil"/>
              <w:left w:val="nil"/>
              <w:bottom w:val="nil"/>
              <w:insideH w:val="nil"/>
              <w:right w:val="nil"/>
              <w:insideV w:val="nil"/>
            </w:tcBorders>
            <w:shd w:fill="auto" w:val="clear"/>
            <w:vAlign w:val="center"/>
          </w:tcPr>
          <w:p>
            <w:pPr>
              <w:pStyle w:val="TableContents"/>
              <w:spacing w:before="0" w:after="0"/>
              <w:jc w:val="left"/>
              <w:rPr>
                <w:rStyle w:val="StrongEmphasis"/>
                <w:rFonts w:ascii="ArIAL" w:hAnsi="ArIAL"/>
                <w:color w:val="000000"/>
                <w:sz w:val="20"/>
                <w:szCs w:val="20"/>
                <w:shd w:fill="FFFFFF" w:val="clear"/>
              </w:rPr>
            </w:pPr>
            <w:r>
              <w:rPr>
                <w:rStyle w:val="StrongEmphasis"/>
                <w:rFonts w:ascii="ArIAL" w:hAnsi="ArIAL"/>
                <w:color w:val="000000"/>
                <w:sz w:val="20"/>
                <w:szCs w:val="20"/>
                <w:shd w:fill="FFFFFF" w:val="clear"/>
              </w:rPr>
              <w:t>Associate</w:t>
            </w:r>
          </w:p>
        </w:tc>
      </w:tr>
    </w:tbl>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73"/>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paragraph" w:styleId="Heading3">
    <w:name w:val="Heading 3"/>
    <w:basedOn w:val="Heading"/>
    <w:next w:val="TextBody"/>
    <w:pPr>
      <w:spacing w:before="140" w:after="120"/>
      <w:outlineLvl w:val="2"/>
      <w:outlineLvl w:val="2"/>
    </w:pPr>
    <w:rPr>
      <w:rFonts w:ascii="Liberation Serif" w:hAnsi="Liberation Serif" w:eastAsia="Droid Sans Fallback" w:cs="FreeSans"/>
      <w:b/>
      <w:bCs/>
      <w:color w:val="808080"/>
      <w:sz w:val="28"/>
      <w:szCs w:val="28"/>
    </w:rPr>
  </w:style>
  <w:style w:type="paragraph" w:styleId="Heading4">
    <w:name w:val="Heading 4"/>
    <w:basedOn w:val="Heading"/>
    <w:next w:val="TextBody"/>
    <w:pPr>
      <w:spacing w:before="120" w:after="120"/>
      <w:outlineLvl w:val="3"/>
      <w:outlineLvl w:val="3"/>
    </w:pPr>
    <w:rPr>
      <w:rFonts w:ascii="Liberation Serif" w:hAnsi="Liberation Serif" w:eastAsia="Droid Sans Fallback" w:cs="FreeSans"/>
      <w:b/>
      <w:bCs/>
      <w:color w:val="808080"/>
      <w:sz w:val="24"/>
      <w:szCs w:val="24"/>
    </w:rPr>
  </w:style>
  <w:style w:type="character" w:styleId="StrongEmphasis">
    <w:name w:val="Strong Emphasis"/>
    <w:rPr>
      <w:b/>
      <w:bCs/>
    </w:rPr>
  </w:style>
  <w:style w:type="character" w:styleId="Emphasis">
    <w:name w:val="Emphasis"/>
    <w:rPr>
      <w:i/>
      <w:iCs/>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character" w:styleId="NumberingSymbols">
    <w:name w:val="Numbering Symbol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2017-03-21T09:41:19Z</dcterms:created>
  <dc:language>en-IN</dc:language>
  <cp:revision>0</cp:revision>
</cp:coreProperties>
</file>